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B83F33" w:rsidRDefault="00B83F33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КОНСТАНТИНОВСКОГО СЕЛЬСОВЕТА</w:t>
      </w:r>
    </w:p>
    <w:p w:rsidR="00B83F33" w:rsidRDefault="002B3536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ТАТАРСКОГО РАЙОНА</w:t>
      </w:r>
      <w:r w:rsidR="00863DBE"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B83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пятого </w:t>
      </w: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созыва)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 пятой </w:t>
      </w:r>
      <w:r w:rsidR="00B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F03B47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02AF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63DBE"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Константиновка     </w:t>
      </w:r>
      <w:r w:rsidR="00B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  </w:t>
      </w:r>
      <w:r w:rsidR="00B702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</w:t>
      </w:r>
      <w:proofErr w:type="gramStart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местного значения </w:t>
      </w:r>
      <w:r w:rsidR="00B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Татарского района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proofErr w:type="gramEnd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Татарского района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13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Татарского района 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13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13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bookmarkStart w:id="0" w:name="_GoBack"/>
      <w:bookmarkEnd w:id="0"/>
      <w:r w:rsidR="0013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2020 год составляет </w:t>
      </w:r>
      <w:r w:rsidR="00095F44">
        <w:rPr>
          <w:rFonts w:ascii="Times New Roman" w:hAnsi="Times New Roman" w:cs="Times New Roman"/>
          <w:sz w:val="26"/>
          <w:szCs w:val="26"/>
        </w:rPr>
        <w:t>14194,62</w:t>
      </w:r>
      <w:r w:rsidR="005719D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</w:t>
      </w:r>
      <w:r w:rsidR="0013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«Константиновский вестник»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ED" w:rsidRPr="00136EED" w:rsidRDefault="00136EED" w:rsidP="00136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EE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6EED" w:rsidRDefault="00136EED" w:rsidP="00136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EED">
        <w:rPr>
          <w:rFonts w:ascii="Times New Roman" w:hAnsi="Times New Roman" w:cs="Times New Roman"/>
          <w:sz w:val="28"/>
          <w:szCs w:val="28"/>
        </w:rPr>
        <w:t xml:space="preserve">Константиновского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ED" w:rsidRPr="00136EED" w:rsidRDefault="00136EED" w:rsidP="00136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EE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С.А. </w:t>
      </w:r>
      <w:proofErr w:type="spellStart"/>
      <w:r w:rsidRPr="00136EED">
        <w:rPr>
          <w:rFonts w:ascii="Times New Roman" w:hAnsi="Times New Roman" w:cs="Times New Roman"/>
          <w:sz w:val="28"/>
          <w:szCs w:val="28"/>
        </w:rPr>
        <w:t>Бытик</w:t>
      </w:r>
      <w:proofErr w:type="spellEnd"/>
    </w:p>
    <w:p w:rsidR="00136EED" w:rsidRPr="00136EED" w:rsidRDefault="00136EED" w:rsidP="00136EE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36EED" w:rsidRDefault="00136EED" w:rsidP="00136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EED">
        <w:rPr>
          <w:rFonts w:ascii="Times New Roman" w:hAnsi="Times New Roman" w:cs="Times New Roman"/>
          <w:sz w:val="28"/>
          <w:szCs w:val="28"/>
        </w:rPr>
        <w:t>Глава Константиновского  сельсовета</w:t>
      </w:r>
    </w:p>
    <w:p w:rsidR="00136EED" w:rsidRPr="00136EED" w:rsidRDefault="00136EED" w:rsidP="00136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EE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А.В. </w:t>
      </w:r>
      <w:proofErr w:type="spellStart"/>
      <w:r w:rsidRPr="00136EED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sectPr w:rsidR="00136EED" w:rsidRPr="00136EED" w:rsidSect="0061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95F44"/>
    <w:rsid w:val="000E56CA"/>
    <w:rsid w:val="00136EED"/>
    <w:rsid w:val="002B3536"/>
    <w:rsid w:val="005719D4"/>
    <w:rsid w:val="00617A4A"/>
    <w:rsid w:val="00863DBE"/>
    <w:rsid w:val="008747D4"/>
    <w:rsid w:val="009063A0"/>
    <w:rsid w:val="00971472"/>
    <w:rsid w:val="009F30DF"/>
    <w:rsid w:val="00B702AF"/>
    <w:rsid w:val="00B83F33"/>
    <w:rsid w:val="00BA06BA"/>
    <w:rsid w:val="00BC53BA"/>
    <w:rsid w:val="00C16DE3"/>
    <w:rsid w:val="00D5058D"/>
    <w:rsid w:val="00DC7F27"/>
    <w:rsid w:val="00F03B47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styleId="a4">
    <w:name w:val="No Spacing"/>
    <w:uiPriority w:val="1"/>
    <w:qFormat/>
    <w:rsid w:val="00136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Константиновка</cp:lastModifiedBy>
  <cp:revision>14</cp:revision>
  <cp:lastPrinted>2020-01-23T08:19:00Z</cp:lastPrinted>
  <dcterms:created xsi:type="dcterms:W3CDTF">2020-01-20T07:30:00Z</dcterms:created>
  <dcterms:modified xsi:type="dcterms:W3CDTF">2020-01-23T08:19:00Z</dcterms:modified>
</cp:coreProperties>
</file>