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D" w:rsidRDefault="0050335D" w:rsidP="00503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518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СЕЛЬСОВЕТА </w:t>
      </w:r>
    </w:p>
    <w:p w:rsidR="0050335D" w:rsidRDefault="0050335D" w:rsidP="00503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50335D" w:rsidRDefault="0050335D" w:rsidP="0050335D">
      <w:pPr>
        <w:rPr>
          <w:b/>
          <w:sz w:val="28"/>
          <w:szCs w:val="28"/>
        </w:rPr>
      </w:pPr>
    </w:p>
    <w:p w:rsidR="0050335D" w:rsidRDefault="0050335D" w:rsidP="00503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1489" w:rsidRDefault="00571489" w:rsidP="0050335D">
      <w:pPr>
        <w:jc w:val="center"/>
        <w:rPr>
          <w:b/>
          <w:sz w:val="28"/>
          <w:szCs w:val="28"/>
        </w:rPr>
      </w:pPr>
    </w:p>
    <w:p w:rsidR="0050335D" w:rsidRDefault="0050335D" w:rsidP="0050335D">
      <w:pPr>
        <w:pStyle w:val="1"/>
        <w:rPr>
          <w:szCs w:val="28"/>
        </w:rPr>
      </w:pPr>
    </w:p>
    <w:p w:rsidR="00613E24" w:rsidRDefault="00571489" w:rsidP="0050335D">
      <w:pPr>
        <w:widowControl w:val="0"/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0335D">
        <w:rPr>
          <w:b/>
          <w:bCs/>
          <w:sz w:val="28"/>
          <w:szCs w:val="28"/>
        </w:rPr>
        <w:t>т</w:t>
      </w:r>
      <w:r w:rsidR="0088518B">
        <w:rPr>
          <w:b/>
          <w:bCs/>
          <w:sz w:val="28"/>
          <w:szCs w:val="28"/>
        </w:rPr>
        <w:t xml:space="preserve">  21</w:t>
      </w:r>
      <w:r>
        <w:rPr>
          <w:b/>
          <w:bCs/>
          <w:sz w:val="28"/>
          <w:szCs w:val="28"/>
        </w:rPr>
        <w:t xml:space="preserve"> </w:t>
      </w:r>
      <w:r w:rsidR="0050335D">
        <w:rPr>
          <w:b/>
          <w:bCs/>
          <w:sz w:val="28"/>
          <w:szCs w:val="28"/>
        </w:rPr>
        <w:t>.</w:t>
      </w:r>
      <w:r w:rsidR="0088518B">
        <w:rPr>
          <w:b/>
          <w:bCs/>
          <w:sz w:val="28"/>
          <w:szCs w:val="28"/>
        </w:rPr>
        <w:t>03</w:t>
      </w:r>
      <w:r w:rsidR="0050335D">
        <w:rPr>
          <w:b/>
          <w:bCs/>
          <w:sz w:val="28"/>
          <w:szCs w:val="28"/>
        </w:rPr>
        <w:t>.</w:t>
      </w:r>
      <w:r w:rsidR="00236A14">
        <w:rPr>
          <w:b/>
          <w:bCs/>
          <w:sz w:val="28"/>
          <w:szCs w:val="28"/>
        </w:rPr>
        <w:t xml:space="preserve"> </w:t>
      </w:r>
      <w:r w:rsidR="0088518B">
        <w:rPr>
          <w:b/>
          <w:bCs/>
          <w:sz w:val="28"/>
          <w:szCs w:val="28"/>
        </w:rPr>
        <w:t>2017</w:t>
      </w:r>
      <w:r w:rsidR="0050335D">
        <w:rPr>
          <w:b/>
          <w:bCs/>
          <w:sz w:val="28"/>
          <w:szCs w:val="28"/>
        </w:rPr>
        <w:t xml:space="preserve">г.                   </w:t>
      </w:r>
      <w:r w:rsidR="00613E24">
        <w:rPr>
          <w:b/>
          <w:bCs/>
          <w:sz w:val="28"/>
          <w:szCs w:val="28"/>
        </w:rPr>
        <w:t xml:space="preserve">                                            </w:t>
      </w:r>
      <w:r w:rsidR="0050335D">
        <w:rPr>
          <w:b/>
          <w:bCs/>
          <w:sz w:val="28"/>
          <w:szCs w:val="28"/>
        </w:rPr>
        <w:t xml:space="preserve">        № </w:t>
      </w:r>
      <w:r w:rsidR="0088518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ab/>
      </w:r>
      <w:r w:rsidR="0050335D">
        <w:rPr>
          <w:b/>
          <w:bCs/>
          <w:sz w:val="28"/>
          <w:szCs w:val="28"/>
        </w:rPr>
        <w:t xml:space="preserve">                    </w:t>
      </w:r>
    </w:p>
    <w:p w:rsidR="007608D7" w:rsidRDefault="00613E24" w:rsidP="0050335D">
      <w:pPr>
        <w:widowControl w:val="0"/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50335D">
        <w:rPr>
          <w:b/>
          <w:sz w:val="28"/>
          <w:szCs w:val="28"/>
        </w:rPr>
        <w:t xml:space="preserve">с. </w:t>
      </w:r>
      <w:r w:rsidR="0088518B">
        <w:rPr>
          <w:b/>
          <w:sz w:val="28"/>
          <w:szCs w:val="28"/>
        </w:rPr>
        <w:t>Константиновка</w:t>
      </w:r>
    </w:p>
    <w:p w:rsidR="00A920B5" w:rsidRDefault="00A920B5" w:rsidP="0050335D">
      <w:pPr>
        <w:widowControl w:val="0"/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0335D" w:rsidRDefault="0050335D" w:rsidP="0050335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20B5" w:rsidRDefault="00A920B5" w:rsidP="0050335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24240" w:rsidRPr="00624240" w:rsidRDefault="00624240" w:rsidP="00624240">
      <w:pPr>
        <w:pStyle w:val="22"/>
        <w:shd w:val="clear" w:color="auto" w:fill="auto"/>
        <w:spacing w:after="166" w:line="200" w:lineRule="exact"/>
        <w:ind w:right="20"/>
        <w:jc w:val="center"/>
        <w:rPr>
          <w:sz w:val="24"/>
          <w:szCs w:val="24"/>
        </w:rPr>
      </w:pPr>
      <w:r w:rsidRPr="00624240">
        <w:rPr>
          <w:color w:val="000000"/>
          <w:sz w:val="24"/>
          <w:szCs w:val="24"/>
        </w:rPr>
        <w:t>ОБ УТВЕРЖДЕНИИ ПОРЯДКА ФОРМИРОВАНИЯ МУНИЦИПАЛЬНОГО ЗАДАНИЯ НА ОКАЗАНИЕ МУНИЦИПАЛЬНЫХ УСЛУГ (ВЫПОЛНЕНИЕ РАБОТ) В ОТНОШЕНИИ МУНИЦИ</w:t>
      </w:r>
      <w:r w:rsidR="0088518B">
        <w:rPr>
          <w:color w:val="000000"/>
          <w:sz w:val="24"/>
          <w:szCs w:val="24"/>
        </w:rPr>
        <w:t>ПАЛЬНЫХ УЧРЕЖДЕНИЙ КОНСТАНТИНОВСКОГО</w:t>
      </w:r>
      <w:r w:rsidRPr="00624240">
        <w:rPr>
          <w:color w:val="000000"/>
          <w:sz w:val="24"/>
          <w:szCs w:val="24"/>
        </w:rPr>
        <w:t xml:space="preserve"> СЕЛЬСОВЕТА ТАТАРСКОГО РАЙОНА НОВОСИБИРСКОЙ ОБЛАСТИ И ФИНАНСОВОГО ОБЕСПЕЧЕНИЯ ВЫПОЛНЕНИЯ МУНИЦИПАЛЬНОГО ЗАДАНИЯ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 xml:space="preserve">В соответствии с пунктами 3, 4 статьи 69.2 Бюджетного кодекса Российской Федерации, подпунктом 2 пунктом 7 статьи 9.2 Федерального закона от 12.01.1996 </w:t>
      </w:r>
      <w:r w:rsidRPr="00624240">
        <w:rPr>
          <w:sz w:val="28"/>
          <w:szCs w:val="28"/>
          <w:lang w:val="en-US"/>
        </w:rPr>
        <w:t>N</w:t>
      </w:r>
      <w:r w:rsidRPr="00624240">
        <w:rPr>
          <w:sz w:val="28"/>
          <w:szCs w:val="28"/>
        </w:rPr>
        <w:t xml:space="preserve"> 7- ФЗ "О некоммерческих организац</w:t>
      </w:r>
      <w:r w:rsidR="0088518B">
        <w:rPr>
          <w:sz w:val="28"/>
          <w:szCs w:val="28"/>
        </w:rPr>
        <w:t>иях" администрация Константиновского</w:t>
      </w:r>
      <w:r w:rsidRPr="00624240">
        <w:rPr>
          <w:sz w:val="28"/>
          <w:szCs w:val="28"/>
        </w:rPr>
        <w:t xml:space="preserve"> сельсовета Татарского района Новосибирской области постановляет: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>1. Утвердить прилагаемый Порядок формирования муниципального задания на оказание муниципальных услуг (выполнение работ) в отношении муници</w:t>
      </w:r>
      <w:r w:rsidR="0088518B">
        <w:rPr>
          <w:sz w:val="28"/>
          <w:szCs w:val="28"/>
        </w:rPr>
        <w:t>пальных учреждений Константиновского</w:t>
      </w:r>
      <w:r w:rsidRPr="00624240">
        <w:rPr>
          <w:sz w:val="28"/>
          <w:szCs w:val="28"/>
        </w:rPr>
        <w:t xml:space="preserve"> сельсовета Татарского района Новосибирской области финансового обеспечения выполнения муниципального задания (далее - Порядок):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>2. Признать утратившим силу Постановле</w:t>
      </w:r>
      <w:r w:rsidR="0088518B">
        <w:rPr>
          <w:sz w:val="28"/>
          <w:szCs w:val="28"/>
        </w:rPr>
        <w:t xml:space="preserve">ние администрации Константиновского </w:t>
      </w:r>
      <w:r w:rsidRPr="00624240">
        <w:rPr>
          <w:sz w:val="28"/>
          <w:szCs w:val="28"/>
        </w:rPr>
        <w:t xml:space="preserve">сельсовета Татарского района Новосибирской области от </w:t>
      </w:r>
      <w:r w:rsidR="0088518B">
        <w:rPr>
          <w:sz w:val="28"/>
          <w:szCs w:val="28"/>
        </w:rPr>
        <w:t>25.08</w:t>
      </w:r>
      <w:r w:rsidR="0059445B">
        <w:rPr>
          <w:sz w:val="28"/>
          <w:szCs w:val="28"/>
        </w:rPr>
        <w:t xml:space="preserve">.2011г. </w:t>
      </w:r>
      <w:r w:rsidR="0059445B">
        <w:rPr>
          <w:sz w:val="28"/>
          <w:szCs w:val="28"/>
          <w:lang w:val="en-US"/>
        </w:rPr>
        <w:t>N</w:t>
      </w:r>
      <w:r w:rsidR="0088518B">
        <w:rPr>
          <w:sz w:val="28"/>
          <w:szCs w:val="28"/>
        </w:rPr>
        <w:t xml:space="preserve"> 38</w:t>
      </w:r>
      <w:r w:rsidR="0059445B">
        <w:rPr>
          <w:sz w:val="28"/>
          <w:szCs w:val="28"/>
        </w:rPr>
        <w:t xml:space="preserve"> </w:t>
      </w:r>
      <w:r w:rsidRPr="00624240">
        <w:rPr>
          <w:sz w:val="28"/>
          <w:szCs w:val="28"/>
        </w:rPr>
        <w:t>" О</w:t>
      </w:r>
      <w:r w:rsidR="0088518B">
        <w:rPr>
          <w:sz w:val="28"/>
          <w:szCs w:val="28"/>
        </w:rPr>
        <w:t>б утверждении условий и порядка</w:t>
      </w:r>
      <w:r w:rsidRPr="00624240">
        <w:rPr>
          <w:sz w:val="28"/>
          <w:szCs w:val="28"/>
        </w:rPr>
        <w:t xml:space="preserve"> формирования муниципального задания и </w:t>
      </w:r>
      <w:r w:rsidR="0088518B">
        <w:rPr>
          <w:sz w:val="28"/>
          <w:szCs w:val="28"/>
        </w:rPr>
        <w:t xml:space="preserve">порядок </w:t>
      </w:r>
      <w:r w:rsidRPr="00624240">
        <w:rPr>
          <w:sz w:val="28"/>
          <w:szCs w:val="28"/>
        </w:rPr>
        <w:t xml:space="preserve">финансового обеспечения выполнения </w:t>
      </w:r>
      <w:r w:rsidR="0088518B">
        <w:rPr>
          <w:sz w:val="28"/>
          <w:szCs w:val="28"/>
        </w:rPr>
        <w:t>этого</w:t>
      </w:r>
      <w:r w:rsidRPr="00624240">
        <w:rPr>
          <w:sz w:val="28"/>
          <w:szCs w:val="28"/>
        </w:rPr>
        <w:t xml:space="preserve"> задания муниципальными </w:t>
      </w:r>
      <w:r w:rsidR="0088518B">
        <w:rPr>
          <w:sz w:val="28"/>
          <w:szCs w:val="28"/>
        </w:rPr>
        <w:t>бюджетными учреждениями Константиновского</w:t>
      </w:r>
      <w:r w:rsidRPr="00624240">
        <w:rPr>
          <w:sz w:val="28"/>
          <w:szCs w:val="28"/>
        </w:rPr>
        <w:t xml:space="preserve"> сельсовета»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>Настоящее постановление вступает</w:t>
      </w:r>
      <w:r w:rsidR="0088518B">
        <w:rPr>
          <w:sz w:val="28"/>
          <w:szCs w:val="28"/>
        </w:rPr>
        <w:t xml:space="preserve"> в силу </w:t>
      </w:r>
      <w:r w:rsidRPr="00624240">
        <w:rPr>
          <w:sz w:val="28"/>
          <w:szCs w:val="28"/>
        </w:rPr>
        <w:t xml:space="preserve"> со дня официального опубликования настоящего постановления и применяются при формировании муниципального задания на оказание муниципальных услуг ( выполнение работ) в отношении муници</w:t>
      </w:r>
      <w:r w:rsidR="0088518B">
        <w:rPr>
          <w:sz w:val="28"/>
          <w:szCs w:val="28"/>
        </w:rPr>
        <w:t>пальных учреждений Константиновского</w:t>
      </w:r>
      <w:r w:rsidRPr="00624240">
        <w:rPr>
          <w:sz w:val="28"/>
          <w:szCs w:val="28"/>
        </w:rPr>
        <w:t xml:space="preserve"> сельсовета Татарского района Новосибирской области (далее - муниципальное задание) и расчете объема финансового обеспечения выполнения муниципального задания, начиная </w:t>
      </w:r>
      <w:r w:rsidR="0088518B">
        <w:rPr>
          <w:sz w:val="28"/>
          <w:szCs w:val="28"/>
        </w:rPr>
        <w:t>с муниципального задания на 2017 год и плановый период 2018 и 2019</w:t>
      </w:r>
      <w:r w:rsidRPr="00624240">
        <w:rPr>
          <w:sz w:val="28"/>
          <w:szCs w:val="28"/>
        </w:rPr>
        <w:t xml:space="preserve"> годов.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>Специал</w:t>
      </w:r>
      <w:r w:rsidR="0088518B">
        <w:rPr>
          <w:sz w:val="28"/>
          <w:szCs w:val="28"/>
        </w:rPr>
        <w:t>исту администрации Константиновского сельсовета</w:t>
      </w:r>
      <w:r w:rsidRPr="00624240">
        <w:rPr>
          <w:sz w:val="28"/>
          <w:szCs w:val="28"/>
        </w:rPr>
        <w:t xml:space="preserve"> Татарского района Новос</w:t>
      </w:r>
      <w:r w:rsidR="00FE2FB2">
        <w:rPr>
          <w:sz w:val="28"/>
          <w:szCs w:val="28"/>
        </w:rPr>
        <w:t>ибирской области Прокопенко С.М</w:t>
      </w:r>
      <w:r w:rsidRPr="00624240">
        <w:rPr>
          <w:sz w:val="28"/>
          <w:szCs w:val="28"/>
        </w:rPr>
        <w:t>. обеспечить опубликование постановления в установленном порядке и довести данное постановление до</w:t>
      </w:r>
      <w:r w:rsidR="00FE2FB2">
        <w:rPr>
          <w:sz w:val="28"/>
          <w:szCs w:val="28"/>
        </w:rPr>
        <w:t xml:space="preserve"> руководителя МБУК Константиновского</w:t>
      </w:r>
      <w:r w:rsidRPr="00624240">
        <w:rPr>
          <w:sz w:val="28"/>
          <w:szCs w:val="28"/>
        </w:rPr>
        <w:t xml:space="preserve"> сельсовета.</w:t>
      </w:r>
    </w:p>
    <w:p w:rsidR="00624240" w:rsidRPr="00624240" w:rsidRDefault="00624240" w:rsidP="00624240">
      <w:pPr>
        <w:jc w:val="both"/>
        <w:rPr>
          <w:sz w:val="28"/>
          <w:szCs w:val="28"/>
        </w:rPr>
      </w:pPr>
      <w:r w:rsidRPr="00624240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A920B5" w:rsidRDefault="00A920B5" w:rsidP="00A920B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920B5" w:rsidRPr="00A920B5" w:rsidRDefault="00A920B5" w:rsidP="00A920B5">
      <w:pPr>
        <w:spacing w:before="100" w:beforeAutospacing="1" w:after="100" w:afterAutospacing="1"/>
        <w:jc w:val="both"/>
        <w:rPr>
          <w:sz w:val="28"/>
          <w:szCs w:val="28"/>
        </w:rPr>
      </w:pPr>
      <w:r w:rsidRPr="00A920B5">
        <w:rPr>
          <w:sz w:val="28"/>
          <w:szCs w:val="28"/>
        </w:rPr>
        <w:lastRenderedPageBreak/>
        <w:t xml:space="preserve">             Глава </w:t>
      </w:r>
      <w:r w:rsidRPr="00571489">
        <w:rPr>
          <w:rStyle w:val="a5"/>
          <w:rFonts w:eastAsiaTheme="majorEastAsia"/>
          <w:b w:val="0"/>
          <w:sz w:val="28"/>
          <w:szCs w:val="28"/>
        </w:rPr>
        <w:t>К</w:t>
      </w:r>
      <w:r w:rsidR="00FE2FB2">
        <w:rPr>
          <w:rStyle w:val="a5"/>
          <w:rFonts w:eastAsiaTheme="majorEastAsia"/>
          <w:b w:val="0"/>
          <w:sz w:val="28"/>
          <w:szCs w:val="28"/>
        </w:rPr>
        <w:t>онстантиновского</w:t>
      </w:r>
      <w:r w:rsidRPr="00A920B5">
        <w:rPr>
          <w:sz w:val="28"/>
          <w:szCs w:val="28"/>
        </w:rPr>
        <w:t xml:space="preserve"> сельсов</w:t>
      </w:r>
      <w:r w:rsidR="00FE2FB2">
        <w:rPr>
          <w:sz w:val="28"/>
          <w:szCs w:val="28"/>
        </w:rPr>
        <w:t>ета:                           О.И.Самоличенко</w:t>
      </w:r>
    </w:p>
    <w:p w:rsidR="00A920B5" w:rsidRDefault="00A920B5" w:rsidP="00A920B5">
      <w:pPr>
        <w:pStyle w:val="1"/>
        <w:jc w:val="both"/>
        <w:rPr>
          <w:b w:val="0"/>
          <w:szCs w:val="28"/>
        </w:rPr>
      </w:pPr>
    </w:p>
    <w:p w:rsidR="00624240" w:rsidRDefault="00624240" w:rsidP="00624240"/>
    <w:p w:rsidR="00624240" w:rsidRPr="00624240" w:rsidRDefault="00624240" w:rsidP="00624240"/>
    <w:p w:rsidR="00A920B5" w:rsidRPr="00A920B5" w:rsidRDefault="00A920B5" w:rsidP="00A920B5">
      <w:pPr>
        <w:pStyle w:val="1"/>
        <w:jc w:val="both"/>
        <w:rPr>
          <w:b w:val="0"/>
          <w:szCs w:val="28"/>
        </w:rPr>
      </w:pPr>
      <w:r w:rsidRPr="00A920B5">
        <w:rPr>
          <w:b w:val="0"/>
          <w:szCs w:val="28"/>
        </w:rPr>
        <w:t xml:space="preserve">                                                                                                   Приложение №1</w:t>
      </w:r>
    </w:p>
    <w:p w:rsidR="00A920B5" w:rsidRPr="00A920B5" w:rsidRDefault="00A920B5" w:rsidP="00A920B5">
      <w:pPr>
        <w:pStyle w:val="1"/>
        <w:jc w:val="both"/>
        <w:rPr>
          <w:b w:val="0"/>
          <w:szCs w:val="28"/>
        </w:rPr>
      </w:pPr>
      <w:r w:rsidRPr="00A920B5">
        <w:rPr>
          <w:b w:val="0"/>
          <w:szCs w:val="28"/>
        </w:rPr>
        <w:t xml:space="preserve">                                                                                 Утверждено постановлением №</w:t>
      </w:r>
      <w:r w:rsidR="00FE2FB2">
        <w:rPr>
          <w:b w:val="0"/>
          <w:szCs w:val="28"/>
        </w:rPr>
        <w:t>22</w:t>
      </w:r>
      <w:r w:rsidR="00571489">
        <w:rPr>
          <w:b w:val="0"/>
          <w:szCs w:val="28"/>
        </w:rPr>
        <w:t xml:space="preserve">  </w:t>
      </w:r>
      <w:r w:rsidRPr="00A920B5">
        <w:rPr>
          <w:b w:val="0"/>
          <w:szCs w:val="28"/>
        </w:rPr>
        <w:t xml:space="preserve"> </w:t>
      </w:r>
    </w:p>
    <w:p w:rsidR="00A920B5" w:rsidRPr="00A920B5" w:rsidRDefault="00A920B5" w:rsidP="00A920B5">
      <w:pPr>
        <w:pStyle w:val="1"/>
        <w:jc w:val="both"/>
        <w:rPr>
          <w:b w:val="0"/>
          <w:szCs w:val="28"/>
        </w:rPr>
      </w:pPr>
      <w:r w:rsidRPr="00A920B5">
        <w:rPr>
          <w:b w:val="0"/>
          <w:szCs w:val="28"/>
        </w:rPr>
        <w:t xml:space="preserve">                                                                                               </w:t>
      </w:r>
      <w:r w:rsidR="00571489">
        <w:rPr>
          <w:b w:val="0"/>
          <w:szCs w:val="28"/>
        </w:rPr>
        <w:t xml:space="preserve">      </w:t>
      </w:r>
      <w:r w:rsidR="00FE2FB2">
        <w:rPr>
          <w:b w:val="0"/>
          <w:szCs w:val="28"/>
        </w:rPr>
        <w:t>21</w:t>
      </w:r>
      <w:r w:rsidR="00571489">
        <w:rPr>
          <w:b w:val="0"/>
          <w:szCs w:val="28"/>
        </w:rPr>
        <w:t xml:space="preserve"> </w:t>
      </w:r>
      <w:r w:rsidRPr="00A920B5">
        <w:rPr>
          <w:b w:val="0"/>
          <w:szCs w:val="28"/>
        </w:rPr>
        <w:t>.</w:t>
      </w:r>
      <w:r w:rsidR="00FE2FB2">
        <w:rPr>
          <w:b w:val="0"/>
          <w:szCs w:val="28"/>
        </w:rPr>
        <w:t>03.2017</w:t>
      </w:r>
      <w:r w:rsidRPr="00A920B5">
        <w:rPr>
          <w:b w:val="0"/>
          <w:szCs w:val="28"/>
        </w:rPr>
        <w:t xml:space="preserve"> 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</w:t>
      </w:r>
      <w:r w:rsidR="00FE2FB2">
        <w:rPr>
          <w:rFonts w:ascii="Times New Roman" w:hAnsi="Times New Roman"/>
          <w:b/>
          <w:sz w:val="28"/>
          <w:szCs w:val="28"/>
        </w:rPr>
        <w:t>пальных учреждений Константиновского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Татарского района Новосибирской области  и финансового обеспечения выполнения муниципального задания</w:t>
      </w: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79D5" w:rsidRDefault="00EA79D5" w:rsidP="00EA79D5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устанавливает правила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</w:t>
      </w:r>
      <w:r w:rsidR="00FE2FB2">
        <w:rPr>
          <w:sz w:val="28"/>
          <w:szCs w:val="28"/>
        </w:rPr>
        <w:t>ниями  администрации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Формирование муниципального задания</w:t>
      </w:r>
    </w:p>
    <w:p w:rsidR="00EA79D5" w:rsidRDefault="00EA79D5" w:rsidP="00EA79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Муниципальное задание формируется в соответствии с основными видами деятельности, предусмотренными учредительными документами</w:t>
      </w:r>
      <w:r w:rsidR="00FE2FB2">
        <w:rPr>
          <w:sz w:val="28"/>
          <w:szCs w:val="28"/>
        </w:rPr>
        <w:t xml:space="preserve"> муниципального учреждения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области, с учетом потребности в 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</w:t>
      </w:r>
      <w:r w:rsidR="00FE2FB2">
        <w:rPr>
          <w:sz w:val="28"/>
          <w:szCs w:val="28"/>
        </w:rPr>
        <w:t>ального учреждения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по оказанию услуг и выполнению работ, а также с учетом показателей выполнения муни</w:t>
      </w:r>
      <w:r w:rsidR="00FE2FB2">
        <w:rPr>
          <w:sz w:val="28"/>
          <w:szCs w:val="28"/>
        </w:rPr>
        <w:t>ципальным учреждением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муниципального задания в отчетном финансовом году.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Муниципальное задание формируется по форме согласно приложению № 1 к настоящему Порядку.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муницип</w:t>
      </w:r>
      <w:r w:rsidR="00FE2FB2">
        <w:rPr>
          <w:sz w:val="28"/>
          <w:szCs w:val="28"/>
        </w:rPr>
        <w:t>альному учреждению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муниципального задания на оказание нескольких муниципальных  услуг (выполнение нескольких работ) муниципальное задание формируется из нескольких разделов, каждый из которых должен содержать требования к оказанию одной муниципальной услуги (выполнению одной работы).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установлении муницип</w:t>
      </w:r>
      <w:r w:rsidR="00FE2FB2">
        <w:rPr>
          <w:sz w:val="28"/>
          <w:szCs w:val="28"/>
        </w:rPr>
        <w:t>альному учреждению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муниципального задания одновременно на оказание муниципальной(ых) услуги (услуг) и выполнение работы (работ) муниципальное задание формируется из двух частей, каждая из которых должна содержать отдельно требования к оказанию муниципальной услуги (услуг) и выполнению работы (работ). Информация, касающаяся муниципального задания в целом, включается в третью часть муниципального задания.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  Муниципальное задание формируется в процессе фор</w:t>
      </w:r>
      <w:r w:rsidR="00FE2FB2">
        <w:rPr>
          <w:sz w:val="28"/>
          <w:szCs w:val="28"/>
        </w:rPr>
        <w:t>мирования  бюджета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на очередной финансовый год и плановый период и утверждается правовым актом главного распорядителя бюджетных средств  в отношении каждого из муниципальных учреждений в срок не позднее 14 дней со дня официального опубликования решени</w:t>
      </w:r>
      <w:r w:rsidR="00FE2FB2">
        <w:rPr>
          <w:sz w:val="28"/>
          <w:szCs w:val="28"/>
        </w:rPr>
        <w:t>я Совета депутатов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о местном бюджете на очередной финансовый год и плановый период в отношении муниципальных бю</w:t>
      </w:r>
      <w:r w:rsidR="00FE2FB2">
        <w:rPr>
          <w:sz w:val="28"/>
          <w:szCs w:val="28"/>
        </w:rPr>
        <w:t>джетных учреждений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– </w:t>
      </w:r>
    </w:p>
    <w:p w:rsidR="00EA79D5" w:rsidRDefault="00EA79D5" w:rsidP="00EA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на срок до одного года в случае утверждения бюджета </w:t>
      </w:r>
      <w:r w:rsidR="00FE2FB2">
        <w:rPr>
          <w:rFonts w:ascii="Times New Roman" w:hAnsi="Times New Roman"/>
          <w:sz w:val="28"/>
          <w:szCs w:val="28"/>
        </w:rPr>
        <w:t>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срок до трех лет в случае утверждения бюджета</w:t>
      </w:r>
      <w:r w:rsidR="00FE2FB2">
        <w:rPr>
          <w:rFonts w:ascii="Times New Roman" w:hAnsi="Times New Roman"/>
          <w:sz w:val="28"/>
          <w:szCs w:val="28"/>
        </w:rPr>
        <w:t xml:space="preserve"> 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A79D5" w:rsidRDefault="00EA79D5" w:rsidP="00EA79D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Муниципальное задание формируется</w:t>
      </w:r>
      <w:r w:rsidR="00FE2FB2">
        <w:rPr>
          <w:rFonts w:ascii="Times New Roman" w:hAnsi="Times New Roman"/>
          <w:sz w:val="28"/>
          <w:szCs w:val="28"/>
        </w:rPr>
        <w:t xml:space="preserve"> администрацией 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 основе утвержденного главным распорядителем средств  бюджета </w:t>
      </w:r>
      <w:r w:rsidR="00FE2FB2">
        <w:rPr>
          <w:rFonts w:ascii="Times New Roman" w:hAnsi="Times New Roman"/>
          <w:sz w:val="28"/>
          <w:szCs w:val="28"/>
        </w:rPr>
        <w:t>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сводного ведомственного перечня муниципальных услуг и работ, оказываемых (выполняемых) муниципальными учреждениями </w:t>
      </w:r>
      <w:r w:rsidR="00FE2FB2">
        <w:rPr>
          <w:rFonts w:ascii="Times New Roman" w:hAnsi="Times New Roman"/>
          <w:sz w:val="28"/>
          <w:szCs w:val="28"/>
        </w:rPr>
        <w:t>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 (далее – сводный ведомственный перечень), сформированного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 политики и информативно-правовому регулированию в установленных сферах деятельности (далее – базовый (отраслевой) перечень).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случае внесения изменений в показатели муниципального задания и (или) в нормативные правовые акты, на основании которых было сформировано муниципальное задание, в том числе в случае изменения размера бюджетных ассигнований, предусм</w:t>
      </w:r>
      <w:r w:rsidR="00FE2FB2">
        <w:rPr>
          <w:sz w:val="28"/>
          <w:szCs w:val="28"/>
        </w:rPr>
        <w:t>отренных в бюджете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на очередной финансовый год и плановый период для финансового обеспечения выполнения муниципального задания, влекущих за собой необходимость изменения муниципального задания, в муниципальное задание вносятся изменения, которые утверждаются главным </w:t>
      </w:r>
      <w:r>
        <w:rPr>
          <w:sz w:val="28"/>
          <w:szCs w:val="28"/>
        </w:rPr>
        <w:lastRenderedPageBreak/>
        <w:t>распорядителе</w:t>
      </w:r>
      <w:r w:rsidR="00FE2FB2">
        <w:rPr>
          <w:sz w:val="28"/>
          <w:szCs w:val="28"/>
        </w:rPr>
        <w:t>м средств  бюджета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 </w:t>
      </w:r>
    </w:p>
    <w:p w:rsidR="00EA79D5" w:rsidRDefault="00EA79D5" w:rsidP="00EA79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Финансовое обеспечение выполнения муниципального задания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 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 содержание недвижимого имущества и особо ценного движимого имущества, закрепленного за муницип</w:t>
      </w:r>
      <w:r w:rsidR="00FE2FB2">
        <w:rPr>
          <w:sz w:val="28"/>
          <w:szCs w:val="28"/>
        </w:rPr>
        <w:t>альным учреждением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</w:t>
      </w:r>
      <w:r w:rsidR="00FE2FB2">
        <w:rPr>
          <w:sz w:val="28"/>
          <w:szCs w:val="28"/>
        </w:rPr>
        <w:t xml:space="preserve">ти администрацией Константиновского </w:t>
      </w:r>
      <w:r>
        <w:rPr>
          <w:sz w:val="28"/>
          <w:szCs w:val="28"/>
        </w:rPr>
        <w:t>сельсовета Татарского района Новосибирской области, уполномоченной в сфере управления и распоряжения муницип</w:t>
      </w:r>
      <w:r w:rsidR="00FE2FB2">
        <w:rPr>
          <w:sz w:val="28"/>
          <w:szCs w:val="28"/>
        </w:rPr>
        <w:t xml:space="preserve">альным имуществом Константиновского </w:t>
      </w:r>
      <w:r>
        <w:rPr>
          <w:sz w:val="28"/>
          <w:szCs w:val="28"/>
        </w:rPr>
        <w:t>сельсовета Татарского района Новосибирской области, или приобретенного муниципа</w:t>
      </w:r>
      <w:r w:rsidR="00FE2FB2">
        <w:rPr>
          <w:sz w:val="28"/>
          <w:szCs w:val="28"/>
        </w:rPr>
        <w:t>льным учреждением 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за счет средств, выделенных ему органом, осуществляющим функции и полномочия учредителя, на приобретение такого имущества, в том числе земельных участков (за исключением имущества, с данного в аренду или переданного в безвозмездное пользование) (далее –имущество учреждения), а также затрат на уплату налогов, в качестве объекта налогообложения по которым признается имущество учреждения.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Объем финансового обеспечения выполнения муниципального задания (ФО) определяется по формуле: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9D5" w:rsidRDefault="00EA79D5" w:rsidP="00EA79D5">
      <w:pPr>
        <w:pStyle w:val="ConsPlusNormal"/>
        <w:tabs>
          <w:tab w:val="num" w:pos="9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 = 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+ ∑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EA79D5" w:rsidRDefault="00EA79D5" w:rsidP="00EA79D5">
      <w:pPr>
        <w:pStyle w:val="ConsPlusNormal"/>
        <w:tabs>
          <w:tab w:val="num" w:pos="9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9D5" w:rsidRDefault="00EA79D5" w:rsidP="00EA79D5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 – нормативные затраты на оказание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муниципальной услуги, включенной в ведомственный перечень;</w:t>
      </w:r>
    </w:p>
    <w:p w:rsidR="00EA79D5" w:rsidRDefault="00EA79D5" w:rsidP="00EA79D5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 – 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муниципальной услуги, установленной муниципальным заданием;</w:t>
      </w:r>
    </w:p>
    <w:p w:rsidR="00EA79D5" w:rsidRDefault="00EA79D5" w:rsidP="00EA79D5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 – нормативные затраты на выполнение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-й работы, включенной в ведомственный перечень;</w:t>
      </w:r>
    </w:p>
    <w:p w:rsidR="00EA79D5" w:rsidRDefault="00EA79D5" w:rsidP="00EA79D5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ун </w:t>
      </w:r>
      <w:r>
        <w:rPr>
          <w:rFonts w:ascii="Times New Roman" w:hAnsi="Times New Roman" w:cs="Times New Roman"/>
          <w:sz w:val="28"/>
          <w:szCs w:val="28"/>
        </w:rPr>
        <w:t>– затраты на уплату налогов, в качестве объекта налогообложения по которым признается имущество учреждения;</w:t>
      </w:r>
    </w:p>
    <w:p w:rsidR="00EA79D5" w:rsidRDefault="00EA79D5" w:rsidP="00EA79D5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>
        <w:rPr>
          <w:rFonts w:ascii="Times New Roman" w:hAnsi="Times New Roman" w:cs="Times New Roman"/>
          <w:sz w:val="28"/>
          <w:szCs w:val="28"/>
        </w:rPr>
        <w:t> – затраты на содержание имущества муниципального учреждения</w:t>
      </w:r>
      <w:r w:rsidR="00FE2FB2">
        <w:rPr>
          <w:rFonts w:ascii="Times New Roman" w:hAnsi="Times New Roman"/>
          <w:sz w:val="28"/>
          <w:szCs w:val="28"/>
        </w:rPr>
        <w:t xml:space="preserve"> 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не используемого для оказания муниципальных услуг (выполнения работ) и для общехозяйственных нужд (далее– неиспользуемое для выполнения муниципального задания имущество).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Нормативные затраты на оказание муниципальной услуги рассчитываются на единицу показателя объема оказания услуги, установленного в муниципальном задании, на основе определяемых в соответствии с настоящим Порядком базового норматива затрат и корректирующих коэффициентов к базовым нормативам затрат (далее – корректирующие коэффициенты), с соблюдением общих требований к определению нормативных затрат </w:t>
      </w:r>
      <w:r>
        <w:rPr>
          <w:sz w:val="28"/>
          <w:szCs w:val="28"/>
        </w:rPr>
        <w:lastRenderedPageBreak/>
        <w:t>на 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в 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Значения нормативных затрат на оказание муниципальной услуги утверждаются в отношении муниципальных бю</w:t>
      </w:r>
      <w:r w:rsidR="00371D84">
        <w:rPr>
          <w:sz w:val="28"/>
          <w:szCs w:val="28"/>
        </w:rPr>
        <w:t>джетных учреждений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и утверждается правовым актом главного распорядителя</w:t>
      </w:r>
      <w:r w:rsidR="00371D84">
        <w:rPr>
          <w:sz w:val="28"/>
          <w:szCs w:val="28"/>
        </w:rPr>
        <w:t xml:space="preserve"> бюджетных средств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 11. Базовый норматив затрат на оказание муниципальной услуги состоит из базового норматива: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EA79D5">
        <w:rPr>
          <w:sz w:val="28"/>
          <w:szCs w:val="28"/>
        </w:rPr>
        <w:t xml:space="preserve">  </w:t>
      </w:r>
      <w:r>
        <w:rPr>
          <w:sz w:val="28"/>
          <w:szCs w:val="28"/>
        </w:rPr>
        <w:t>затрат, непосредственно связанных с оказанием муниципальной услуги;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 затрат на общехозяйственные нужды на оказание муниципальной услуги.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 – показатели отраслевой специфики), отраслевой корректирующий коэффициент при которых принимает значение, равное 1.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 – стандарты услуги).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В базовый норматив затрат, непосредственно связанных с оказанием муниципальной услуги, включаются: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 - 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иные затраты, непосредственно связанные с оказанием муниципальной услуги.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 базовый норматив затрат на общехозяйственные нужды на оказание муниципальной услуги включаются: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затраты на коммунальные услуги;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затраты на содержание объектов недвижимого имущества, необходимого для выполнения муниципального задания и для общехозяйственных нужд (в том числе затраты на арендные платежи);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затраты на приобретение услуг связи;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затраты на приобретение транспортных услуг;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персонал, в случаях, установленных стандартами услуги;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затраты на прочие общехозяйственные нужды.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Корректирующие коэффициенты к базовому нормативу затрат на оказание муниципальной услуги, применяемые при расчете нормативных затрат на оказание муниципальной услуги, состоят из: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отраслевого корректирующего коэффициента к базовому нормативу затрат, отражающего отраслевую специфику муниципальной услуги.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Значения базового норматива затрат на оказание муниципальной услуги, территориального корректирующего коэффициента, отраслевого корректирующего коэффициента определяются органом, осуществляющим функции и полномочия учредителя, и главным распорядителем средств местного бюджета.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базового норматива затрат на оказание муниципальной услуги, территориального корректирующего коэффициента, отраслевого корректирующего коэффициента подлежат размещению на официальном с</w:t>
      </w:r>
      <w:r w:rsidR="00371D84">
        <w:rPr>
          <w:sz w:val="28"/>
          <w:szCs w:val="28"/>
        </w:rPr>
        <w:t>айте администрации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Нормативные затраты на выполнение работы определяются при расчете объема финансового обеспечения выполнения муниципального задания в порядке, установленном органом, осуществляющим функции и полномочия учредителя в отношении муниципальных бю</w:t>
      </w:r>
      <w:r w:rsidR="00371D84">
        <w:rPr>
          <w:sz w:val="28"/>
          <w:szCs w:val="28"/>
        </w:rPr>
        <w:t>джетных учреждений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области, а </w:t>
      </w:r>
      <w:r>
        <w:rPr>
          <w:sz w:val="28"/>
          <w:szCs w:val="28"/>
        </w:rPr>
        <w:lastRenderedPageBreak/>
        <w:t>также по решению главного распорядител</w:t>
      </w:r>
      <w:r w:rsidR="00371D84">
        <w:rPr>
          <w:sz w:val="28"/>
          <w:szCs w:val="28"/>
        </w:rPr>
        <w:t>я средств  бюджета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 В нормативные затраты на выполнение работы включаются в том числе: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стандартами, порядками и регламентами выполнения работ;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затраты на иные расходы, непосредственно связанные с выполнением работы;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затраты на оплату коммунальных услуг;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затраты на содержание объектов недвижимого имущества, необходимого для выполнения муниципального задания;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затраты на приобретение услуг связи;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затраты на приобретение транспортных услуг;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затраты на оплату труда с начислениями на выплаты по оплате труда, 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стандартами, порядками и регламентами выполнения работ;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затраты на прочие общехозяйственные нужды.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 –стандарты работы).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Значения нормативных затрат на выполнение работы утверждаются органом, осуществляющим функции и полномочия учредителя, а также главным распорядителем средств местного бюджета в случае принятия им решения о применении нормативных затрат при расчете объема финансового обеспечения выполнения муниципального задания.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муниципальное бю</w:t>
      </w:r>
      <w:r w:rsidR="00371D84">
        <w:rPr>
          <w:sz w:val="28"/>
          <w:szCs w:val="28"/>
        </w:rPr>
        <w:t>джетное учреждение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оказывает муниципальные </w:t>
      </w:r>
      <w:r>
        <w:rPr>
          <w:sz w:val="28"/>
          <w:szCs w:val="28"/>
        </w:rPr>
        <w:lastRenderedPageBreak/>
        <w:t>услуги (выполняет работы) для физических и юридических лиц за плату (далее –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местного бюджета в 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Затраты на содержание неиспользуемого для выполнения муниципального задания имущества муниципального бюд</w:t>
      </w:r>
      <w:r w:rsidR="00371D84">
        <w:rPr>
          <w:sz w:val="28"/>
          <w:szCs w:val="28"/>
        </w:rPr>
        <w:t>жетного учреждения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рассчитываются с учетом затрат: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 потребление электрической энергии –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услуги;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 потребление тепловой энергии – в размере 50 процентов общего объема затрат муниципального бюджетного в части указанного вида затрат в составе затрат на коммунальные услуги.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Финансовое обеспечение выполнения муниципального задания осуществляется в пределах лимитов бюджетных обязательств и бюджетных ассигнований, предусмотренных</w:t>
      </w:r>
      <w:r w:rsidR="00371D84">
        <w:rPr>
          <w:sz w:val="28"/>
          <w:szCs w:val="28"/>
        </w:rPr>
        <w:t xml:space="preserve"> в местном бюджете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на соответствующие цели.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Финансовое обеспечение выполнения муниципального задания муниципальным бюджетным учреждением осуществляется в виде субсидии из местного бюджета.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объема и условия предоставления указанных субсидий из местного бюджета устанавливаю</w:t>
      </w:r>
      <w:r w:rsidR="00371D84">
        <w:rPr>
          <w:sz w:val="28"/>
          <w:szCs w:val="28"/>
        </w:rPr>
        <w:t xml:space="preserve">тся администрации Константиновского </w:t>
      </w:r>
      <w:r>
        <w:rPr>
          <w:sz w:val="28"/>
          <w:szCs w:val="28"/>
        </w:rPr>
        <w:t>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 осуществляется на основании соглашения о предоставлении субсидии муниципальным бюджетным учреждением на возмещение нормативных затрат, связанных с оказанием ими в соответствии с муниципальным заданием муниципальных услуг (выполнением работ), заключаемого органом, осуществляющим функции и полномочия учредителя, с муниципальным бюджетным учреждением.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Муниципальные бю</w:t>
      </w:r>
      <w:r w:rsidR="00371D84">
        <w:rPr>
          <w:sz w:val="28"/>
          <w:szCs w:val="28"/>
        </w:rPr>
        <w:t xml:space="preserve">джетные учреждения Константиновского </w:t>
      </w:r>
      <w:r>
        <w:rPr>
          <w:sz w:val="28"/>
          <w:szCs w:val="28"/>
        </w:rPr>
        <w:t xml:space="preserve"> сельсовета Татарского района Новосибирской области представляют соответственно органу, осуществляющим функции и полномочия учредителя, главному распорядителю средств местного  бюдже</w:t>
      </w:r>
      <w:r w:rsidR="00371D84">
        <w:rPr>
          <w:sz w:val="28"/>
          <w:szCs w:val="28"/>
        </w:rPr>
        <w:t xml:space="preserve">та – администрации Константиновского </w:t>
      </w:r>
      <w:r>
        <w:rPr>
          <w:sz w:val="28"/>
          <w:szCs w:val="28"/>
        </w:rPr>
        <w:t xml:space="preserve"> сельсовета Татарского района Новосибирской области отчет о выполнении муниципального задания по форме согласно приложению № 2 к настоящему Порядку в соответствии с требованиями, установленными муниципальным заданием.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Контроль за выполнением муниципального задания муниципальными бюдже</w:t>
      </w:r>
      <w:r w:rsidR="00371D84">
        <w:rPr>
          <w:sz w:val="28"/>
          <w:szCs w:val="28"/>
        </w:rPr>
        <w:t>тными учреждениями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осуществ</w:t>
      </w:r>
      <w:r w:rsidR="00371D84">
        <w:rPr>
          <w:sz w:val="28"/>
          <w:szCs w:val="28"/>
        </w:rPr>
        <w:t>ляет администрация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Муниципальные задания и отчеты об их исполнении, за исключением содержащихся в них сведений, отнесенных к муниципальной тайне, должны быть размещены на официальном с</w:t>
      </w:r>
      <w:r w:rsidR="00371D84">
        <w:rPr>
          <w:sz w:val="28"/>
          <w:szCs w:val="28"/>
        </w:rPr>
        <w:t>айте администрации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EA79D5" w:rsidRDefault="00EA79D5" w:rsidP="00EA79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79D5" w:rsidRDefault="00EA79D5" w:rsidP="00EA79D5">
      <w:pPr>
        <w:rPr>
          <w:rFonts w:ascii="Calibri" w:hAnsi="Calibri"/>
          <w:sz w:val="22"/>
          <w:szCs w:val="22"/>
        </w:rPr>
      </w:pPr>
    </w:p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/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left="5102" w:right="5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 муниципального задания на оказание муниципальных услуг (выполнение работ)в отношении муници</w:t>
      </w:r>
      <w:r w:rsidR="00371D84">
        <w:rPr>
          <w:sz w:val="28"/>
          <w:szCs w:val="28"/>
        </w:rPr>
        <w:t>пальных учреждений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 и финансового обеспечения выполнения муниципального задания</w:t>
      </w:r>
    </w:p>
    <w:p w:rsidR="00EA79D5" w:rsidRDefault="00EA79D5" w:rsidP="00EA79D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EA79D5" w:rsidRDefault="00EA79D5" w:rsidP="00EA79D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EA79D5" w:rsidRDefault="00EA79D5" w:rsidP="00EA79D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</w:t>
      </w:r>
      <w:r w:rsidR="00371D84">
        <w:rPr>
          <w:rFonts w:ascii="Times New Roman" w:hAnsi="Times New Roman" w:cs="Times New Roman"/>
        </w:rPr>
        <w:t>нием администрации Константиновского</w:t>
      </w:r>
      <w:r>
        <w:rPr>
          <w:rFonts w:ascii="Times New Roman" w:hAnsi="Times New Roman" w:cs="Times New Roman"/>
        </w:rPr>
        <w:t xml:space="preserve"> сельсовета</w:t>
      </w:r>
    </w:p>
    <w:p w:rsidR="00EA79D5" w:rsidRDefault="00EA79D5" w:rsidP="00EA79D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Татарского района Новосибирской области</w:t>
      </w:r>
    </w:p>
    <w:p w:rsidR="00EA79D5" w:rsidRDefault="00371D84" w:rsidP="00EA79D5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от 21.03.2017№ _22</w:t>
      </w:r>
      <w:r w:rsidR="00EA79D5">
        <w:rPr>
          <w:rFonts w:ascii="Times New Roman" w:hAnsi="Times New Roman" w:cs="Times New Roman"/>
        </w:rPr>
        <w:t>_</w:t>
      </w:r>
    </w:p>
    <w:p w:rsidR="00EA79D5" w:rsidRDefault="00EA79D5" w:rsidP="00EA79D5">
      <w:pPr>
        <w:pStyle w:val="ConsPlusNonformat"/>
      </w:pPr>
    </w:p>
    <w:p w:rsidR="00EA79D5" w:rsidRDefault="00EA79D5" w:rsidP="00EA79D5">
      <w:pPr>
        <w:pStyle w:val="ConsPlusNonformat"/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</w:pPr>
    </w:p>
    <w:p w:rsidR="00EA79D5" w:rsidRDefault="00EA79D5" w:rsidP="00EA79D5">
      <w:pPr>
        <w:rPr>
          <w:rFonts w:ascii="Courier New" w:hAnsi="Courier New" w:cs="Courier New"/>
          <w:sz w:val="20"/>
          <w:szCs w:val="20"/>
          <w:lang w:eastAsia="en-US"/>
        </w:rPr>
        <w:sectPr w:rsidR="00EA79D5">
          <w:pgSz w:w="11906" w:h="16838"/>
          <w:pgMar w:top="1134" w:right="567" w:bottom="1134" w:left="1418" w:header="720" w:footer="720" w:gutter="0"/>
          <w:cols w:space="720"/>
        </w:sectPr>
      </w:pPr>
    </w:p>
    <w:p w:rsidR="00EA79D5" w:rsidRDefault="00EA79D5" w:rsidP="00EA79D5">
      <w:pPr>
        <w:pStyle w:val="ConsPlusNonformat"/>
        <w:jc w:val="right"/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ЗАДАНИЕ №___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20__ год и на плановый период 20__ и 20__ годов</w:t>
      </w:r>
    </w:p>
    <w:p w:rsidR="00EA79D5" w:rsidRDefault="00EA79D5" w:rsidP="00EA79D5">
      <w:pPr>
        <w:pStyle w:val="ConsPlusNonforma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431"/>
        <w:gridCol w:w="1064"/>
      </w:tblGrid>
      <w:tr w:rsidR="00EA79D5" w:rsidTr="00EA79D5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EA79D5" w:rsidTr="00EA79D5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  <w:p w:rsidR="00EA79D5" w:rsidRDefault="00371D8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Константиновского</w:t>
            </w:r>
            <w:r w:rsidR="00EA79D5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муницип</w:t>
            </w:r>
            <w:r w:rsidR="00371D84">
              <w:rPr>
                <w:rFonts w:ascii="Times New Roman" w:hAnsi="Times New Roman" w:cs="Times New Roman"/>
              </w:rPr>
              <w:t>ального учреждения Константиновского</w:t>
            </w:r>
            <w:r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сводному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реестру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муниципального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Сведения об оказываемых муниципальных услугах*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5"/>
        <w:gridCol w:w="1557"/>
        <w:gridCol w:w="1348"/>
      </w:tblGrid>
      <w:tr w:rsidR="00EA79D5" w:rsidTr="00EA79D5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Наименование муниципальной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</w:p>
          <w:p w:rsidR="00EA79D5" w:rsidRDefault="00EA79D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базовому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(отраслевому)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перечню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Категории потребителей муниципальной услуги 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A79D5" w:rsidRDefault="00EA79D5" w:rsidP="00EA79D5">
      <w:pPr>
        <w:rPr>
          <w:sz w:val="20"/>
          <w:szCs w:val="20"/>
          <w:lang w:eastAsia="en-US"/>
        </w:rPr>
        <w:sectPr w:rsidR="00EA79D5">
          <w:type w:val="continuous"/>
          <w:pgSz w:w="11906" w:h="16838"/>
          <w:pgMar w:top="1134" w:right="567" w:bottom="1134" w:left="1418" w:header="720" w:footer="720" w:gutter="0"/>
          <w:cols w:space="720"/>
        </w:sect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услуги**:</w:t>
      </w: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tbl>
      <w:tblPr>
        <w:tblW w:w="14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0"/>
        <w:gridCol w:w="1400"/>
        <w:gridCol w:w="1406"/>
        <w:gridCol w:w="1415"/>
        <w:gridCol w:w="1308"/>
        <w:gridCol w:w="1417"/>
        <w:gridCol w:w="1284"/>
        <w:gridCol w:w="1179"/>
        <w:gridCol w:w="709"/>
        <w:gridCol w:w="1196"/>
        <w:gridCol w:w="1123"/>
        <w:gridCol w:w="1133"/>
      </w:tblGrid>
      <w:tr w:rsidR="00EA79D5" w:rsidTr="00EA79D5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Уникальный номер реестровой записи 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Показатель, характеризующий содержание муниципальной услуги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Показатель качества муниципальной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Значение показателя качества муниципальной услуги </w:t>
            </w:r>
          </w:p>
        </w:tc>
      </w:tr>
      <w:tr w:rsidR="00EA79D5" w:rsidTr="00EA79D5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единица измерения по </w:t>
            </w:r>
            <w:r>
              <w:rPr>
                <w:color w:val="000000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20__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20__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20__ год (2-й год планового периода) </w:t>
            </w:r>
          </w:p>
        </w:tc>
      </w:tr>
      <w:tr w:rsidR="00EA79D5" w:rsidTr="00EA79D5">
        <w:trPr>
          <w:trHeight w:val="102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________ </w:t>
            </w:r>
          </w:p>
          <w:p w:rsidR="00EA79D5" w:rsidRDefault="00EA79D5">
            <w:pPr>
              <w:pStyle w:val="ConsPlusNormal"/>
              <w:ind w:firstLine="0"/>
            </w:pPr>
            <w:r>
              <w:t xml:space="preserve">(наименование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________ </w:t>
            </w:r>
          </w:p>
          <w:p w:rsidR="00EA79D5" w:rsidRDefault="00EA79D5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________ </w:t>
            </w:r>
          </w:p>
          <w:p w:rsidR="00EA79D5" w:rsidRDefault="00EA79D5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________ </w:t>
            </w:r>
          </w:p>
          <w:p w:rsidR="00EA79D5" w:rsidRDefault="00EA79D5">
            <w:pPr>
              <w:pStyle w:val="ConsPlusNormal"/>
              <w:jc w:val="center"/>
            </w:pPr>
            <w:r>
              <w:t xml:space="preserve">(наименование показателя)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 xml:space="preserve">________ </w:t>
            </w:r>
          </w:p>
          <w:p w:rsidR="00EA79D5" w:rsidRDefault="00EA79D5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ind w:firstLine="0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кгод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  <w:tr w:rsidR="00EA79D5" w:rsidTr="00EA79D5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EA79D5" w:rsidTr="00EA79D5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  <w:tr w:rsidR="00EA79D5" w:rsidTr="00EA79D5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  <w:tr w:rsidR="00EA79D5" w:rsidTr="00EA79D5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</w:tbl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 муниципальной услуги, в пределах  которых  муниципальное задание</w:t>
      </w:r>
      <w:r w:rsidR="00371D84">
        <w:rPr>
          <w:sz w:val="20"/>
          <w:szCs w:val="20"/>
        </w:rPr>
        <w:t xml:space="preserve"> </w:t>
      </w:r>
      <w:r>
        <w:rPr>
          <w:sz w:val="20"/>
          <w:szCs w:val="20"/>
        </w:rPr>
        <w:t>считается выполненным (процентов): ________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 Показатели, характеризующие объем муниципальной услуги: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5"/>
        <w:gridCol w:w="1157"/>
        <w:gridCol w:w="1157"/>
        <w:gridCol w:w="1157"/>
        <w:gridCol w:w="1274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EA79D5" w:rsidTr="00EA79D5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Уникаль-ный номер реест-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EA79D5" w:rsidTr="00EA79D5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наимено-вание показате-ля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5" w:history="1">
              <w:r>
                <w:rPr>
                  <w:rStyle w:val="a3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(1-й год планово-го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(2-й год планово-го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(очеред-ной финан-совый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(1-й год планово-го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20__ год (2-й год планово-го периода) </w:t>
            </w:r>
          </w:p>
        </w:tc>
      </w:tr>
      <w:tr w:rsidR="00EA79D5" w:rsidTr="00EA79D5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</w:p>
          <w:p w:rsidR="00EA79D5" w:rsidRDefault="00EA79D5">
            <w:pPr>
              <w:autoSpaceDE w:val="0"/>
              <w:autoSpaceDN w:val="0"/>
              <w:adjustRightInd w:val="0"/>
              <w:ind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 показателя) 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</w:tr>
      <w:tr w:rsidR="00EA79D5" w:rsidTr="00EA79D5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</w:tr>
      <w:tr w:rsidR="00EA79D5" w:rsidTr="00EA79D5">
        <w:trPr>
          <w:gridAfter w:val="1"/>
          <w:wAfter w:w="6" w:type="dxa"/>
          <w:trHeight w:val="3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gridAfter w:val="1"/>
          <w:wAfter w:w="6" w:type="dxa"/>
          <w:trHeight w:val="3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 муниципальной   услуги, в пределах  которых  муниципальное  задание считается выполненным (процентов): ________</w:t>
      </w: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rPr>
          <w:rFonts w:ascii="Courier New" w:hAnsi="Courier New" w:cs="Courier New"/>
          <w:sz w:val="20"/>
          <w:szCs w:val="20"/>
          <w:lang w:eastAsia="en-US"/>
        </w:rPr>
        <w:sectPr w:rsidR="00EA79D5">
          <w:pgSz w:w="16838" w:h="11906" w:orient="landscape"/>
          <w:pgMar w:top="1418" w:right="567" w:bottom="1134" w:left="1134" w:header="720" w:footer="720" w:gutter="0"/>
          <w:cols w:space="720"/>
        </w:sect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</w:rPr>
        <w:t>4. Нормативные правовые акты, устанавливающие размер платы (цену, тариф)либо порядок ее (его) установления: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1680"/>
        <w:gridCol w:w="1680"/>
        <w:gridCol w:w="1683"/>
        <w:gridCol w:w="2891"/>
      </w:tblGrid>
      <w:tr w:rsidR="00EA79D5" w:rsidTr="00EA79D5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Нормативный правовой акт </w:t>
            </w: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наименование </w:t>
            </w: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5 </w:t>
            </w: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</w:tr>
      <w:tr w:rsidR="00EA79D5" w:rsidTr="00EA79D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</w:tr>
    </w:tbl>
    <w:p w:rsidR="00EA79D5" w:rsidRDefault="00EA79D5" w:rsidP="00EA79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 Порядок оказания муниципальной услуги: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5.1. Нормативные правовые акты, регулирующие порядок оказания муниципальной услуги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EA79D5" w:rsidRDefault="00EA79D5" w:rsidP="00EA79D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реквизиты нормативного правового акта)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3193"/>
        <w:gridCol w:w="3193"/>
      </w:tblGrid>
      <w:tr w:rsidR="00EA79D5" w:rsidTr="00EA79D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EA79D5" w:rsidTr="00EA79D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rmal"/>
              <w:jc w:val="center"/>
            </w:pPr>
            <w:r>
              <w:t>3</w:t>
            </w:r>
          </w:p>
        </w:tc>
      </w:tr>
      <w:tr w:rsidR="00EA79D5" w:rsidTr="00EA79D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  <w:outlineLvl w:val="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  <w:tr w:rsidR="00EA79D5" w:rsidTr="00EA79D5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rmal"/>
              <w:jc w:val="center"/>
            </w:pPr>
          </w:p>
        </w:tc>
      </w:tr>
    </w:tbl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2. Сведения о выполняемых работах***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5"/>
        <w:gridCol w:w="1557"/>
        <w:gridCol w:w="1348"/>
      </w:tblGrid>
      <w:tr w:rsidR="00EA79D5" w:rsidTr="00EA79D5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</w:p>
          <w:p w:rsidR="00EA79D5" w:rsidRDefault="00EA79D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базовому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(отраслевому)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перечню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работы:</w:t>
      </w:r>
    </w:p>
    <w:p w:rsidR="00EA79D5" w:rsidRDefault="00EA79D5" w:rsidP="00EA79D5">
      <w:pPr>
        <w:rPr>
          <w:rFonts w:ascii="Calibri" w:hAnsi="Calibri"/>
          <w:sz w:val="22"/>
          <w:szCs w:val="22"/>
        </w:rPr>
      </w:pP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right="57" w:firstLine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A79D5" w:rsidRDefault="00EA79D5" w:rsidP="00EA79D5">
      <w:pPr>
        <w:tabs>
          <w:tab w:val="left" w:pos="5103"/>
        </w:tabs>
        <w:autoSpaceDE w:val="0"/>
        <w:autoSpaceDN w:val="0"/>
        <w:adjustRightInd w:val="0"/>
        <w:ind w:left="5102" w:right="5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 муниципального задания на оказание муниципальных услуг (выполнение работ)в отношении муницип</w:t>
      </w:r>
      <w:r w:rsidR="00193C8A">
        <w:rPr>
          <w:sz w:val="28"/>
          <w:szCs w:val="28"/>
        </w:rPr>
        <w:t xml:space="preserve">альных учреждений Константиновского </w:t>
      </w:r>
      <w:r>
        <w:rPr>
          <w:sz w:val="28"/>
          <w:szCs w:val="28"/>
        </w:rPr>
        <w:t>сельсовета Татарского района Новосибирской области и финансового обеспечения выполнения муниципального задания</w:t>
      </w:r>
    </w:p>
    <w:p w:rsidR="00EA79D5" w:rsidRDefault="00EA79D5" w:rsidP="00EA79D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A79D5" w:rsidRDefault="00EA79D5" w:rsidP="00EA79D5">
      <w:pPr>
        <w:rPr>
          <w:rFonts w:ascii="Courier New" w:hAnsi="Courier New" w:cs="Courier New"/>
          <w:sz w:val="20"/>
          <w:szCs w:val="20"/>
          <w:lang w:eastAsia="en-US"/>
        </w:rPr>
        <w:sectPr w:rsidR="00EA79D5">
          <w:pgSz w:w="11906" w:h="16838"/>
          <w:pgMar w:top="1134" w:right="567" w:bottom="1134" w:left="1418" w:header="720" w:footer="720" w:gutter="0"/>
          <w:cols w:space="720"/>
        </w:sectPr>
      </w:pPr>
    </w:p>
    <w:p w:rsidR="00EA79D5" w:rsidRDefault="00EA79D5" w:rsidP="00EA79D5">
      <w:pPr>
        <w:pStyle w:val="ConsPlusNonformat"/>
        <w:jc w:val="right"/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МУНИЦИПАЛЬНОГО ЗАДАНИЯ №____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20__ год и на плановый период 20__ и 20__ годов</w:t>
      </w:r>
    </w:p>
    <w:p w:rsidR="00EA79D5" w:rsidRDefault="00EA79D5" w:rsidP="00EA79D5">
      <w:pPr>
        <w:pStyle w:val="ConsPlusNonforma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431"/>
        <w:gridCol w:w="1064"/>
      </w:tblGrid>
      <w:tr w:rsidR="00EA79D5" w:rsidTr="00EA79D5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EA79D5" w:rsidTr="00EA79D5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  <w:p w:rsidR="00EA79D5" w:rsidRDefault="00193C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Константиновского</w:t>
            </w:r>
            <w:r w:rsidR="00EA79D5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по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</w:p>
          <w:p w:rsidR="00EA79D5" w:rsidRDefault="00193C8A" w:rsidP="00193C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Константиновского </w:t>
            </w:r>
            <w:r w:rsidR="00EA79D5">
              <w:rPr>
                <w:rFonts w:ascii="Times New Roman" w:hAnsi="Times New Roman" w:cs="Times New Roman"/>
              </w:rPr>
              <w:t>сельсовета Татарского района 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</w:t>
            </w:r>
          </w:p>
          <w:p w:rsidR="00EA79D5" w:rsidRDefault="00EA79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сводному</w:t>
            </w:r>
          </w:p>
          <w:p w:rsidR="00EA79D5" w:rsidRDefault="00EA79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реестру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муниципального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ОКВЭД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 соответствии спериодичностью представления отчета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выполнении муниципального задания,установленной 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государственномзадании)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Сведения об оказываемых муниципальных услугах*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5"/>
        <w:gridCol w:w="1544"/>
        <w:gridCol w:w="1337"/>
      </w:tblGrid>
      <w:tr w:rsidR="00EA79D5" w:rsidTr="00EA79D5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Наименование муниципальной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</w:p>
          <w:p w:rsidR="00EA79D5" w:rsidRDefault="00EA79D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базовому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(отраслевому)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перечню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   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rPr>
          <w:sz w:val="20"/>
          <w:szCs w:val="20"/>
          <w:lang w:eastAsia="en-US"/>
        </w:rPr>
        <w:sectPr w:rsidR="00EA79D5">
          <w:type w:val="continuous"/>
          <w:pgSz w:w="11906" w:h="16838"/>
          <w:pgMar w:top="1134" w:right="567" w:bottom="1134" w:left="1418" w:header="720" w:footer="720" w:gutter="0"/>
          <w:cols w:space="720"/>
        </w:sect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Сведения  о фактическом достижении показателей, характеризующих объем и(или) качество муниципальной услуги:</w:t>
      </w: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  о  фактическом  достижении  показателей,  характеризующихкачество муниципальной услуги:</w:t>
      </w: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EA79D5" w:rsidTr="00EA79D5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</w:tr>
      <w:tr w:rsidR="00EA79D5" w:rsidTr="00EA79D5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наимено-вание показа-теля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государ-ственном задании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допус-тимое (возмож-ное) отклоне-ние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отклоне-ние, превы-шающеедопус-тимое (возмож-ное)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откло-нения </w:t>
            </w:r>
          </w:p>
        </w:tc>
      </w:tr>
      <w:tr w:rsidR="00EA79D5" w:rsidTr="00EA79D5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7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</w:tr>
      <w:tr w:rsidR="00EA79D5" w:rsidTr="00EA79D5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 Сведения  о фактическом достижении показателей, характеризующих объеммуниципальной услуги: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EA79D5" w:rsidTr="00EA79D5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Уникаль-ный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Сред-ний размер платы (цена, тариф) </w:t>
            </w:r>
          </w:p>
        </w:tc>
      </w:tr>
      <w:tr w:rsidR="00EA79D5" w:rsidTr="00EA79D5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наиме-нование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Утвержде-но в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государст-венном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испол-нено на отчет-ную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причи-на откло-нения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79D5" w:rsidTr="00EA79D5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7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</w:tr>
      <w:tr w:rsidR="00EA79D5" w:rsidTr="00EA79D5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</w:tr>
      <w:tr w:rsidR="00EA79D5" w:rsidTr="00EA79D5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rPr>
          <w:rFonts w:ascii="Courier New" w:hAnsi="Courier New" w:cs="Courier New"/>
          <w:sz w:val="20"/>
          <w:szCs w:val="20"/>
          <w:lang w:eastAsia="en-US"/>
        </w:rPr>
        <w:sectPr w:rsidR="00EA79D5">
          <w:pgSz w:w="16838" w:h="11906" w:orient="landscape"/>
          <w:pgMar w:top="1418" w:right="567" w:bottom="1134" w:left="1134" w:header="720" w:footer="720" w:gutter="0"/>
          <w:cols w:space="720"/>
        </w:sect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2. Сведения о выполняемых работах**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_____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5"/>
        <w:gridCol w:w="1557"/>
        <w:gridCol w:w="1348"/>
      </w:tblGrid>
      <w:tr w:rsidR="00EA79D5" w:rsidTr="00EA79D5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</w:p>
          <w:p w:rsidR="00EA79D5" w:rsidRDefault="00EA79D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базовому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(отраслевому)</w:t>
            </w:r>
          </w:p>
          <w:p w:rsidR="00EA79D5" w:rsidRDefault="00EA79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перечню</w:t>
            </w:r>
          </w:p>
          <w:p w:rsidR="00EA79D5" w:rsidRDefault="00EA79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A79D5" w:rsidTr="00EA79D5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A79D5" w:rsidRDefault="00EA79D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A79D5" w:rsidRDefault="00EA79D5" w:rsidP="00EA79D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A79D5" w:rsidRDefault="00EA79D5" w:rsidP="00EA79D5">
      <w:pPr>
        <w:rPr>
          <w:rFonts w:ascii="Courier New" w:hAnsi="Courier New" w:cs="Courier New"/>
          <w:sz w:val="20"/>
          <w:szCs w:val="20"/>
          <w:lang w:eastAsia="en-US"/>
        </w:rPr>
        <w:sectPr w:rsidR="00EA79D5">
          <w:pgSz w:w="11906" w:h="16838"/>
          <w:pgMar w:top="1134" w:right="567" w:bottom="1134" w:left="1418" w:header="720" w:footer="720" w:gutter="0"/>
          <w:cols w:space="720"/>
        </w:sect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Сведения  о фактическом достижении показателей, характеризующих объем и(или) качество работы: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3.1. Сведения   о  фактическом  достижении  показателей,  характеризующихкачество работы:</w:t>
      </w: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EA79D5" w:rsidTr="00EA79D5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работы </w:t>
            </w:r>
          </w:p>
        </w:tc>
      </w:tr>
      <w:tr w:rsidR="00EA79D5" w:rsidTr="00EA79D5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5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наимено-вание показа-теля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>
                <w:rPr>
                  <w:rStyle w:val="a3"/>
                  <w:color w:val="000000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государст-венном задании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отклоне-ния</w:t>
            </w:r>
          </w:p>
        </w:tc>
      </w:tr>
      <w:tr w:rsidR="00EA79D5" w:rsidTr="00EA79D5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7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</w:tr>
      <w:tr w:rsidR="00EA79D5" w:rsidTr="00EA79D5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79D5" w:rsidRDefault="00EA79D5" w:rsidP="00EA79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 Сведения  о фактическом достижении показателей, характеризующих объем работы:</w:t>
      </w:r>
    </w:p>
    <w:p w:rsidR="00EA79D5" w:rsidRDefault="00EA79D5" w:rsidP="00EA79D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83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EA79D5" w:rsidTr="00EA79D5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объема работы </w:t>
            </w:r>
          </w:p>
        </w:tc>
      </w:tr>
      <w:tr w:rsidR="00EA79D5" w:rsidTr="00EA79D5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наимено-ваниепоказате-ля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r>
              <w:rPr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государст-венном задании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отклоне-ния</w:t>
            </w:r>
          </w:p>
        </w:tc>
      </w:tr>
      <w:tr w:rsidR="00EA79D5" w:rsidTr="00EA79D5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</w:t>
            </w:r>
          </w:p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(наимено-ваниепоказате-ля) </w:t>
            </w:r>
          </w:p>
        </w:tc>
        <w:tc>
          <w:tcPr>
            <w:tcW w:w="7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D5" w:rsidRDefault="00EA7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</w:tr>
      <w:tr w:rsidR="00EA79D5" w:rsidTr="00EA79D5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79D5" w:rsidTr="00EA79D5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D5" w:rsidRDefault="00EA79D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Default="00EA79D5">
            <w:pPr>
              <w:autoSpaceDE w:val="0"/>
              <w:autoSpaceDN w:val="0"/>
              <w:adjustRightInd w:val="0"/>
            </w:pPr>
          </w:p>
        </w:tc>
      </w:tr>
    </w:tbl>
    <w:p w:rsidR="00EA79D5" w:rsidRDefault="00EA79D5" w:rsidP="00EA79D5">
      <w:pPr>
        <w:pStyle w:val="ConsPlusNonformat"/>
        <w:jc w:val="center"/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_____________ ___________ ______________</w:t>
      </w: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(должность)(подпись) (расшифровка</w:t>
      </w: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подписи)</w:t>
      </w:r>
    </w:p>
    <w:p w:rsidR="00EA79D5" w:rsidRDefault="00EA79D5" w:rsidP="00EA79D5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EA79D5" w:rsidRDefault="00EA79D5" w:rsidP="00EA79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EA79D5" w:rsidRDefault="00EA79D5" w:rsidP="00EA79D5">
      <w:pPr>
        <w:rPr>
          <w:rFonts w:ascii="Calibri" w:hAnsi="Calibri"/>
        </w:rPr>
      </w:pPr>
    </w:p>
    <w:p w:rsidR="00A920B5" w:rsidRPr="00A920B5" w:rsidRDefault="00A920B5" w:rsidP="00EA79D5">
      <w:pPr>
        <w:pStyle w:val="1"/>
        <w:jc w:val="both"/>
        <w:rPr>
          <w:b w:val="0"/>
          <w:szCs w:val="28"/>
        </w:rPr>
      </w:pPr>
    </w:p>
    <w:p w:rsidR="00056087" w:rsidRPr="00A920B5" w:rsidRDefault="00056087" w:rsidP="00A920B5">
      <w:pPr>
        <w:pStyle w:val="a4"/>
        <w:spacing w:after="0" w:afterAutospacing="0"/>
        <w:rPr>
          <w:sz w:val="28"/>
          <w:szCs w:val="28"/>
        </w:rPr>
      </w:pPr>
    </w:p>
    <w:sectPr w:rsidR="00056087" w:rsidRPr="00A920B5" w:rsidSect="00EA79D5">
      <w:pgSz w:w="16838" w:h="11906" w:orient="landscape"/>
      <w:pgMar w:top="1134" w:right="99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777"/>
    <w:multiLevelType w:val="multilevel"/>
    <w:tmpl w:val="5B068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37742371"/>
    <w:multiLevelType w:val="multilevel"/>
    <w:tmpl w:val="CA0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12A7B"/>
    <w:multiLevelType w:val="multilevel"/>
    <w:tmpl w:val="12162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C620E"/>
    <w:multiLevelType w:val="multilevel"/>
    <w:tmpl w:val="F9D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77323"/>
    <w:rsid w:val="000007FE"/>
    <w:rsid w:val="00051774"/>
    <w:rsid w:val="00056087"/>
    <w:rsid w:val="000958C8"/>
    <w:rsid w:val="000A16A0"/>
    <w:rsid w:val="000F6824"/>
    <w:rsid w:val="00100567"/>
    <w:rsid w:val="00107D7D"/>
    <w:rsid w:val="00193C8A"/>
    <w:rsid w:val="001A1D73"/>
    <w:rsid w:val="00222F0A"/>
    <w:rsid w:val="00236A14"/>
    <w:rsid w:val="00254CF0"/>
    <w:rsid w:val="002D11A4"/>
    <w:rsid w:val="00313EB7"/>
    <w:rsid w:val="00352572"/>
    <w:rsid w:val="00356171"/>
    <w:rsid w:val="00371D84"/>
    <w:rsid w:val="00381B43"/>
    <w:rsid w:val="003836B9"/>
    <w:rsid w:val="003A1769"/>
    <w:rsid w:val="00435464"/>
    <w:rsid w:val="00474EAA"/>
    <w:rsid w:val="004B5CC6"/>
    <w:rsid w:val="00500660"/>
    <w:rsid w:val="0050335D"/>
    <w:rsid w:val="005120D0"/>
    <w:rsid w:val="005564F7"/>
    <w:rsid w:val="00571489"/>
    <w:rsid w:val="00585CA5"/>
    <w:rsid w:val="0059445B"/>
    <w:rsid w:val="005A4074"/>
    <w:rsid w:val="00613E24"/>
    <w:rsid w:val="0061409D"/>
    <w:rsid w:val="006162E1"/>
    <w:rsid w:val="00624240"/>
    <w:rsid w:val="006F63C5"/>
    <w:rsid w:val="006F7BBF"/>
    <w:rsid w:val="00705453"/>
    <w:rsid w:val="00755257"/>
    <w:rsid w:val="007608D7"/>
    <w:rsid w:val="007B7933"/>
    <w:rsid w:val="007E4B3E"/>
    <w:rsid w:val="007F5DDC"/>
    <w:rsid w:val="00820029"/>
    <w:rsid w:val="00836238"/>
    <w:rsid w:val="00855468"/>
    <w:rsid w:val="008609D2"/>
    <w:rsid w:val="0088518B"/>
    <w:rsid w:val="008D00E6"/>
    <w:rsid w:val="00904ADB"/>
    <w:rsid w:val="009252B4"/>
    <w:rsid w:val="009C697C"/>
    <w:rsid w:val="009C7337"/>
    <w:rsid w:val="00A60E08"/>
    <w:rsid w:val="00A920B5"/>
    <w:rsid w:val="00AB63E2"/>
    <w:rsid w:val="00AF6038"/>
    <w:rsid w:val="00B41E7A"/>
    <w:rsid w:val="00B749ED"/>
    <w:rsid w:val="00B909D5"/>
    <w:rsid w:val="00BB0BE1"/>
    <w:rsid w:val="00C10FD7"/>
    <w:rsid w:val="00C148EB"/>
    <w:rsid w:val="00C31376"/>
    <w:rsid w:val="00C67E88"/>
    <w:rsid w:val="00CB47CA"/>
    <w:rsid w:val="00CE21FC"/>
    <w:rsid w:val="00D2612F"/>
    <w:rsid w:val="00D275E8"/>
    <w:rsid w:val="00D47C2F"/>
    <w:rsid w:val="00D77323"/>
    <w:rsid w:val="00DC4550"/>
    <w:rsid w:val="00DD4122"/>
    <w:rsid w:val="00DD6D5A"/>
    <w:rsid w:val="00E12E16"/>
    <w:rsid w:val="00E226AA"/>
    <w:rsid w:val="00E96B0C"/>
    <w:rsid w:val="00EA79D5"/>
    <w:rsid w:val="00EB4AC0"/>
    <w:rsid w:val="00ED00BC"/>
    <w:rsid w:val="00EF62B3"/>
    <w:rsid w:val="00FA2CEA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0335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92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92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335D"/>
    <w:rPr>
      <w:b/>
      <w:bCs/>
      <w:sz w:val="28"/>
      <w:szCs w:val="24"/>
      <w:lang w:val="ru-RU" w:eastAsia="ru-RU" w:bidi="ar-SA"/>
    </w:rPr>
  </w:style>
  <w:style w:type="paragraph" w:customStyle="1" w:styleId="11">
    <w:name w:val="Знак Знак1 Знак"/>
    <w:basedOn w:val="a"/>
    <w:rsid w:val="00503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basedOn w:val="a0"/>
    <w:uiPriority w:val="99"/>
    <w:rsid w:val="00056087"/>
    <w:rPr>
      <w:color w:val="0000FF"/>
      <w:u w:val="single"/>
    </w:rPr>
  </w:style>
  <w:style w:type="paragraph" w:styleId="a4">
    <w:name w:val="Normal (Web)"/>
    <w:basedOn w:val="a"/>
    <w:rsid w:val="00236A14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36A14"/>
  </w:style>
  <w:style w:type="character" w:customStyle="1" w:styleId="20">
    <w:name w:val="Заголовок 2 Знак"/>
    <w:basedOn w:val="a0"/>
    <w:link w:val="2"/>
    <w:semiHidden/>
    <w:rsid w:val="00A92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920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Strong"/>
    <w:basedOn w:val="a0"/>
    <w:qFormat/>
    <w:locked/>
    <w:rsid w:val="00A920B5"/>
    <w:rPr>
      <w:b/>
      <w:bCs/>
    </w:rPr>
  </w:style>
  <w:style w:type="character" w:customStyle="1" w:styleId="a6">
    <w:name w:val="Основной текст_"/>
    <w:basedOn w:val="a0"/>
    <w:link w:val="12"/>
    <w:rsid w:val="0062424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4240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6"/>
    <w:rsid w:val="00624240"/>
    <w:pPr>
      <w:widowControl w:val="0"/>
      <w:shd w:val="clear" w:color="auto" w:fill="FFFFFF"/>
      <w:spacing w:after="300" w:line="218" w:lineRule="exact"/>
      <w:jc w:val="center"/>
    </w:pPr>
    <w:rPr>
      <w:sz w:val="19"/>
      <w:szCs w:val="19"/>
    </w:rPr>
  </w:style>
  <w:style w:type="paragraph" w:customStyle="1" w:styleId="22">
    <w:name w:val="Основной текст (2)"/>
    <w:basedOn w:val="a"/>
    <w:link w:val="21"/>
    <w:rsid w:val="00624240"/>
    <w:pPr>
      <w:widowControl w:val="0"/>
      <w:shd w:val="clear" w:color="auto" w:fill="FFFFFF"/>
      <w:spacing w:after="300" w:line="0" w:lineRule="atLeast"/>
    </w:pPr>
    <w:rPr>
      <w:b/>
      <w:bCs/>
      <w:sz w:val="17"/>
      <w:szCs w:val="17"/>
    </w:rPr>
  </w:style>
  <w:style w:type="paragraph" w:styleId="a7">
    <w:name w:val="header"/>
    <w:basedOn w:val="a"/>
    <w:link w:val="a8"/>
    <w:semiHidden/>
    <w:unhideWhenUsed/>
    <w:rsid w:val="00EA79D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semiHidden/>
    <w:rsid w:val="00EA79D5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semiHidden/>
    <w:unhideWhenUsed/>
    <w:rsid w:val="00EA79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semiHidden/>
    <w:rsid w:val="00EA79D5"/>
    <w:rPr>
      <w:rFonts w:eastAsia="Times New Roman"/>
      <w:sz w:val="22"/>
      <w:szCs w:val="22"/>
    </w:rPr>
  </w:style>
  <w:style w:type="paragraph" w:styleId="ab">
    <w:name w:val="Body Text"/>
    <w:basedOn w:val="a"/>
    <w:link w:val="ac"/>
    <w:semiHidden/>
    <w:unhideWhenUsed/>
    <w:rsid w:val="00EA79D5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EA79D5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EA79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Normal">
    <w:name w:val="ConsPlusNormal"/>
    <w:rsid w:val="00EA79D5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13">
    <w:name w:val="Абзац списка1"/>
    <w:basedOn w:val="a"/>
    <w:rsid w:val="00EA79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A79D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llowedHyperlink"/>
    <w:basedOn w:val="a0"/>
    <w:uiPriority w:val="99"/>
    <w:semiHidden/>
    <w:unhideWhenUsed/>
    <w:rsid w:val="00EA79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EE5ACA9E74743D45890AEC988E78A007BDB8E46F0F5E1DB77BDFC2ETDT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9E01D12500840C3ADE984937F3F817EA5FB03D8C98DDDF45B8567ECV6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378C115A607525015EB3784B8A154067D683F93DB6787F4BE562D3C3XELEI" TargetMode="External"/><Relationship Id="rId5" Type="http://schemas.openxmlformats.org/officeDocument/2006/relationships/hyperlink" Target="consultantplus://offline/ref=DC41E2772540CE89436B920E86BEF4F9345B73C5B114AE3A8765A72052AFV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DG Win&amp;Soft</Company>
  <LinksUpToDate>false</LinksUpToDate>
  <CharactersWithSpaces>32613</CharactersWithSpaces>
  <SharedDoc>false</SharedDoc>
  <HLinks>
    <vt:vector size="6" baseType="variant"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http://lopatinsky.regiontatarsk.ru/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proc</dc:creator>
  <cp:lastModifiedBy>User</cp:lastModifiedBy>
  <cp:revision>13</cp:revision>
  <cp:lastPrinted>2016-03-24T03:39:00Z</cp:lastPrinted>
  <dcterms:created xsi:type="dcterms:W3CDTF">2016-03-23T11:00:00Z</dcterms:created>
  <dcterms:modified xsi:type="dcterms:W3CDTF">2017-04-28T03:38:00Z</dcterms:modified>
</cp:coreProperties>
</file>