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района Новосибирской области</w:t>
      </w:r>
      <w:proofErr w:type="gramEnd"/>
      <w:r>
        <w:rPr>
          <w:b/>
          <w:bCs/>
          <w:sz w:val="20"/>
          <w:szCs w:val="20"/>
        </w:rPr>
        <w:t xml:space="preserve"> за 1 квартал 2015г.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22530B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2490,8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2490,8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</w:t>
            </w:r>
            <w:r w:rsidRPr="00C04636">
              <w:rPr>
                <w:sz w:val="18"/>
                <w:szCs w:val="18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2530B">
              <w:rPr>
                <w:sz w:val="20"/>
                <w:szCs w:val="20"/>
              </w:rPr>
              <w:t>4,6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22530B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336FD4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2398,4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61,7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336FD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336FD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557,8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F617A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83B25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11,1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61,7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722,8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722,8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3B2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2398,8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983B25">
        <w:rPr>
          <w:b/>
          <w:bCs/>
          <w:sz w:val="20"/>
          <w:szCs w:val="20"/>
        </w:rPr>
        <w:t xml:space="preserve"> 1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83B25">
              <w:rPr>
                <w:b/>
                <w:bCs/>
                <w:sz w:val="20"/>
                <w:szCs w:val="20"/>
              </w:rPr>
              <w:t>2490,8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83B25">
              <w:rPr>
                <w:b/>
                <w:bCs/>
                <w:sz w:val="20"/>
                <w:szCs w:val="20"/>
              </w:rPr>
              <w:t>2490,8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83B25">
              <w:rPr>
                <w:sz w:val="20"/>
                <w:szCs w:val="20"/>
              </w:rPr>
              <w:t>2490,8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2398,8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2398,8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83B25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2398,8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F5AA6"/>
    <w:rsid w:val="001218DF"/>
    <w:rsid w:val="001B02A1"/>
    <w:rsid w:val="001E4EF3"/>
    <w:rsid w:val="001F23D8"/>
    <w:rsid w:val="0022530B"/>
    <w:rsid w:val="002B01A6"/>
    <w:rsid w:val="00313FB5"/>
    <w:rsid w:val="00317B0D"/>
    <w:rsid w:val="00336FD4"/>
    <w:rsid w:val="0039310D"/>
    <w:rsid w:val="003D7BBC"/>
    <w:rsid w:val="004312B1"/>
    <w:rsid w:val="004C2663"/>
    <w:rsid w:val="004C6197"/>
    <w:rsid w:val="00507972"/>
    <w:rsid w:val="005327C7"/>
    <w:rsid w:val="00582C35"/>
    <w:rsid w:val="005C6228"/>
    <w:rsid w:val="005E7E37"/>
    <w:rsid w:val="006A117D"/>
    <w:rsid w:val="006E2ED1"/>
    <w:rsid w:val="00727FD0"/>
    <w:rsid w:val="00751288"/>
    <w:rsid w:val="007616B0"/>
    <w:rsid w:val="0077414D"/>
    <w:rsid w:val="007873A4"/>
    <w:rsid w:val="007B34BD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906325"/>
    <w:rsid w:val="00932AD8"/>
    <w:rsid w:val="00942F70"/>
    <w:rsid w:val="00946C23"/>
    <w:rsid w:val="009505DE"/>
    <w:rsid w:val="00950B16"/>
    <w:rsid w:val="00966E49"/>
    <w:rsid w:val="0097113A"/>
    <w:rsid w:val="00983B25"/>
    <w:rsid w:val="009A3DC9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2</cp:revision>
  <cp:lastPrinted>2016-03-03T04:41:00Z</cp:lastPrinted>
  <dcterms:created xsi:type="dcterms:W3CDTF">2016-04-13T10:27:00Z</dcterms:created>
  <dcterms:modified xsi:type="dcterms:W3CDTF">2016-04-13T10:27:00Z</dcterms:modified>
</cp:coreProperties>
</file>